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CE" w:rsidRDefault="00626A49" w:rsidP="00626A49">
      <w:pPr>
        <w:jc w:val="center"/>
        <w:rPr>
          <w:rStyle w:val="articletitle3"/>
          <w:rFonts w:hint="eastAsia"/>
          <w:b/>
          <w:bCs/>
          <w:color w:val="333333"/>
          <w:sz w:val="30"/>
          <w:szCs w:val="30"/>
        </w:rPr>
      </w:pPr>
      <w:r>
        <w:rPr>
          <w:rStyle w:val="articletitle3"/>
          <w:b/>
          <w:bCs/>
          <w:color w:val="333333"/>
          <w:sz w:val="30"/>
          <w:szCs w:val="30"/>
        </w:rPr>
        <w:t>关于组织</w:t>
      </w:r>
      <w:r>
        <w:rPr>
          <w:rStyle w:val="articletitle3"/>
          <w:b/>
          <w:bCs/>
          <w:color w:val="333333"/>
          <w:sz w:val="30"/>
          <w:szCs w:val="30"/>
        </w:rPr>
        <w:t>2021</w:t>
      </w:r>
      <w:r>
        <w:rPr>
          <w:rStyle w:val="articletitle3"/>
          <w:b/>
          <w:bCs/>
          <w:color w:val="333333"/>
          <w:sz w:val="30"/>
          <w:szCs w:val="30"/>
        </w:rPr>
        <w:t>年山东省教改项目申报工作的通知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各院部、有关单位：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根据《山东省教育厅关于做好2021年本科教学改革研究项目立项申报和管理工作的预备通知》，现开展省级教改项目申报工作，具体事宜通知如下：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="600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一、立项范围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主要包括高等教育发展研究、人才培养模式改革与创新、专业建设、课程建设、教育教学方法改革、创新创业教育改革研究、基层教学组织与教师队伍建设、教学管理与质量保障体系建设等（详见立项参考指南）。 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200" w:firstLine="602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二、项目申报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（一）项目类型和申报途径 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1.学校申报：分为重大专项、重点项目和面上项目三类，指标为：重大专项1项和子课题1项，重点项目7项，面上项目10项；其中学校和学院管理人员（含院领导、教学和行政办公室人员）主持或参与申报（</w:t>
      </w:r>
      <w:proofErr w:type="gramStart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限前3位</w:t>
      </w:r>
      <w:proofErr w:type="gramEnd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）的重点项目不超过4项，面上项目不超过2项。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2.</w:t>
      </w:r>
      <w:proofErr w:type="gramStart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教指委</w:t>
      </w:r>
      <w:proofErr w:type="gramEnd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申报：山东省各专业</w:t>
      </w:r>
      <w:proofErr w:type="gramStart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类教指委可</w:t>
      </w:r>
      <w:proofErr w:type="gramEnd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申报本领域重点项目1项，不占用学校申报指标。 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（二）基本条件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 xml:space="preserve">1.项目主持人为本校专职教师或教学管理人员，近3学年（2018.9月-2021.7月）每学年面向本科生至少讲授一门课程，平均每学年本科教学不少于96学时（专任教师脱产学习、出国访学期间以及教学管理人员不作教学要求）。 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200" w:firstLine="600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2.面上项目和重点项目主持人，应具有中级及以上专业技术职务，且从事高等教育教学（管理）工作5年以上；重大专项主持人应具有副高级及以上专业技术职务，且从事高等教育教学（管理）工作10年以上。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3.以项目主持人身份可申报面上项目、重点项目或重大专项1项。目前主持研究的省教改项目（含教学成果培育项目）未通过结题验收的，不得以主持人身份申报新项目。校级领导不参与申报面上项目和重点项目。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4.面上项目和重点项目主要参与者（含主持人）原则上不超过10人；重大专项主要参与者不限人数。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5.已获同级及以上部门立项的项目不得重复申报，同一项目不得兼报不同类型。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90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（三）申报要求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1.项目选题符合高等教育发展方向和申报指南，重点考虑能</w:t>
      </w:r>
      <w:r w:rsidRPr="00626A4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源行业转型、“双碳”目标等背景下新工科与新文科建设、传统专业升级改造、跨学科复合型人才培养、新型人才培养实验区、科教产教融合育人、一流专业一流课程深化建设等方面内容。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2.项目</w:t>
      </w:r>
      <w:r w:rsidRPr="00626A4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研究目标明确，实施方案论证充分、可行性强，预期成果丰富，团队成员组成合理，注重</w:t>
      </w: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校际、校企、校院（所）联合申报，协同创新。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3.每个院部可申报重点和面上项目共2项（须分属于申报指南A-I类选题的不同大类）；可申报重大专项（</w:t>
      </w:r>
      <w:proofErr w:type="gramStart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含子课题</w:t>
      </w:r>
      <w:proofErr w:type="gramEnd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）1项，需立足全国或全省角度进行研究，能够为山东省制定政策提供参考。其它教学相关单位限报1项，项目类别和选题类型不限。 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90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三、时间安排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1.院部申报（9.15-9.25日）：各院部结合学校和山东省立项要求，统筹考虑教改项目申报工作，组织项目团队认真梳理项目研究内容，填写申报材料，做好形式审查和专家评审工作，经公示无异议后，9月25日前将项目申报</w:t>
      </w:r>
      <w:proofErr w:type="gramStart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书电子稿</w:t>
      </w:r>
      <w:proofErr w:type="gramEnd"/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和申报汇总表报送教务处。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2.学校遴选（9.26-9.30日）：学校组织专家对各单位推荐的项目进行评审，确定各类项目推荐名单。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3.完善提升（10.1-10.8日）：学校组织专家对项目进行指导，院部和项目组要主动联系校内外专家，共同提升项目申报质量。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4.项目报送（10.9-10.11日）：项目组登录山东省教改项目管理系统（http://221.214.56.13:8324/bkjg/），完成申报材料网上填报。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="600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lastRenderedPageBreak/>
        <w:t>四、其它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1.各教学院部要高度重视，精心组织，加强把关和指导，统筹做好山东省教学改革项目申报组织工作。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2.各项目负责人要按照通知要求认真准备项目立项材料，系统梳理项目内容，做到理念先进，特色鲜明，创新突出，高质量完成项目申报工作。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3.项目申报材料均先提交电子版，请发送至yinxing@upc.edu.cn，后期再根据报送需要提交纸质材料。 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exact"/>
        <w:ind w:firstLineChars="196" w:firstLine="588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未尽事宜请联系教务处教学研究科，联系人：尹星，电话：86981306。</w:t>
      </w:r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noProof/>
          <w:kern w:val="0"/>
          <w:sz w:val="30"/>
          <w:szCs w:val="30"/>
        </w:rPr>
        <w:drawing>
          <wp:inline distT="0" distB="0" distL="0" distR="0" wp14:anchorId="3988D53F" wp14:editId="51699C71">
            <wp:extent cx="151130" cy="151130"/>
            <wp:effectExtent l="0" t="0" r="1270" b="1270"/>
            <wp:docPr id="5" name="图片 5" descr="http://jwc.upc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upc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26A49">
        <w:rPr>
          <w:rFonts w:ascii="仿宋_gb2312" w:eastAsia="仿宋_gb2312" w:hAnsi="宋体" w:cs="宋体"/>
          <w:kern w:val="0"/>
          <w:sz w:val="30"/>
          <w:szCs w:val="30"/>
        </w:rPr>
        <w:fldChar w:fldCharType="begin"/>
      </w:r>
      <w:r w:rsidRPr="00626A49">
        <w:rPr>
          <w:rFonts w:ascii="仿宋_gb2312" w:eastAsia="仿宋_gb2312" w:hAnsi="宋体" w:cs="宋体"/>
          <w:kern w:val="0"/>
          <w:sz w:val="30"/>
          <w:szCs w:val="30"/>
        </w:rPr>
        <w:instrText xml:space="preserve"> HYPERLINK "http://jwc.upc.edu.cn/_upload/article/files/82/f3/3f33508d4247a448e249dbca3ea8/6e1b41aa-9bd8-405b-bd7c-cd143db4c6bc.doc" </w:instrText>
      </w:r>
      <w:r w:rsidRPr="00626A49">
        <w:rPr>
          <w:rFonts w:ascii="仿宋_gb2312" w:eastAsia="仿宋_gb2312" w:hAnsi="宋体" w:cs="宋体"/>
          <w:kern w:val="0"/>
          <w:sz w:val="30"/>
          <w:szCs w:val="30"/>
        </w:rPr>
        <w:fldChar w:fldCharType="separate"/>
      </w:r>
      <w:r w:rsidRPr="00626A49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附件1：关于做好2021年本科教学改革研究项目立项申报和管理工作的预备通知0913.</w:t>
      </w:r>
      <w:proofErr w:type="gramStart"/>
      <w:r w:rsidRPr="00626A49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doc</w:t>
      </w:r>
      <w:proofErr w:type="gramEnd"/>
      <w:r w:rsidRPr="00626A49">
        <w:rPr>
          <w:rFonts w:ascii="仿宋_gb2312" w:eastAsia="仿宋_gb2312" w:hAnsi="宋体" w:cs="宋体"/>
          <w:kern w:val="0"/>
          <w:sz w:val="30"/>
          <w:szCs w:val="30"/>
        </w:rPr>
        <w:fldChar w:fldCharType="end"/>
      </w:r>
      <w:bookmarkEnd w:id="0"/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noProof/>
          <w:kern w:val="0"/>
          <w:sz w:val="30"/>
          <w:szCs w:val="30"/>
        </w:rPr>
        <w:drawing>
          <wp:inline distT="0" distB="0" distL="0" distR="0" wp14:anchorId="5BA36AA0" wp14:editId="273E5238">
            <wp:extent cx="151130" cy="151130"/>
            <wp:effectExtent l="0" t="0" r="1270" b="1270"/>
            <wp:docPr id="4" name="图片 4" descr="http://jwc.upc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wc.upc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附件2：2021年山东省本科高校教学改革项目立项参考指南.</w:t>
        </w:r>
        <w:proofErr w:type="gramStart"/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docx</w:t>
        </w:r>
        <w:proofErr w:type="gramEnd"/>
      </w:hyperlink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noProof/>
          <w:kern w:val="0"/>
          <w:sz w:val="30"/>
          <w:szCs w:val="30"/>
        </w:rPr>
        <w:drawing>
          <wp:inline distT="0" distB="0" distL="0" distR="0" wp14:anchorId="1CE4FCDF" wp14:editId="17C5B847">
            <wp:extent cx="151130" cy="151130"/>
            <wp:effectExtent l="0" t="0" r="1270" b="1270"/>
            <wp:docPr id="3" name="图片 3" descr="http://jwc.upc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wc.upc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附件3：2021年山东省本科高校教改重大专项立项选题.</w:t>
        </w:r>
        <w:proofErr w:type="gramStart"/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docx</w:t>
        </w:r>
        <w:proofErr w:type="gramEnd"/>
      </w:hyperlink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noProof/>
          <w:kern w:val="0"/>
          <w:sz w:val="30"/>
          <w:szCs w:val="30"/>
        </w:rPr>
        <w:drawing>
          <wp:inline distT="0" distB="0" distL="0" distR="0" wp14:anchorId="173B374A" wp14:editId="55C4CDE6">
            <wp:extent cx="151130" cy="151130"/>
            <wp:effectExtent l="0" t="0" r="1270" b="1270"/>
            <wp:docPr id="2" name="图片 2" descr="http://jwc.upc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wc.upc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附件4：2021年山东省本科高校教学改革研究项目立项申请书.</w:t>
        </w:r>
        <w:proofErr w:type="gramStart"/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docx</w:t>
        </w:r>
        <w:proofErr w:type="gramEnd"/>
      </w:hyperlink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noProof/>
          <w:kern w:val="0"/>
          <w:sz w:val="30"/>
          <w:szCs w:val="30"/>
        </w:rPr>
        <w:drawing>
          <wp:inline distT="0" distB="0" distL="0" distR="0" wp14:anchorId="7A1BDD59" wp14:editId="1A0795A5">
            <wp:extent cx="151130" cy="151130"/>
            <wp:effectExtent l="0" t="0" r="1270" b="1270"/>
            <wp:docPr id="1" name="图片 1" descr="http://jwc.upc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wc.upc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附件5：2021年山东省教学改革研究项目申报汇总表.</w:t>
        </w:r>
        <w:proofErr w:type="gramStart"/>
        <w:r w:rsidRPr="00626A49">
          <w:rPr>
            <w:rFonts w:ascii="仿宋_gb2312" w:eastAsia="仿宋_gb2312" w:hAnsi="宋体" w:cs="宋体" w:hint="eastAsia"/>
            <w:color w:val="333333"/>
            <w:kern w:val="0"/>
            <w:sz w:val="30"/>
            <w:szCs w:val="30"/>
          </w:rPr>
          <w:t>xlsx</w:t>
        </w:r>
        <w:proofErr w:type="gramEnd"/>
      </w:hyperlink>
    </w:p>
    <w:p w:rsidR="00626A49" w:rsidRPr="00626A49" w:rsidRDefault="00626A49" w:rsidP="00626A49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626A49" w:rsidRPr="00626A49" w:rsidRDefault="00626A49" w:rsidP="00626A49">
      <w:pPr>
        <w:widowControl/>
        <w:spacing w:before="100" w:beforeAutospacing="1" w:after="100" w:afterAutospacing="1" w:line="55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 xml:space="preserve"> </w:t>
      </w: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>教务处</w:t>
      </w:r>
    </w:p>
    <w:p w:rsidR="00626A49" w:rsidRPr="00626A49" w:rsidRDefault="00626A49" w:rsidP="00626A49">
      <w:pPr>
        <w:widowControl/>
        <w:spacing w:before="100" w:beforeAutospacing="1" w:after="100" w:afterAutospacing="1" w:line="55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26A4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2021年9月15日 </w:t>
      </w:r>
    </w:p>
    <w:p w:rsidR="00626A49" w:rsidRDefault="00626A49"/>
    <w:sectPr w:rsidR="0062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68"/>
    <w:rsid w:val="00142468"/>
    <w:rsid w:val="005673CE"/>
    <w:rsid w:val="006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3">
    <w:name w:val="article_title3"/>
    <w:basedOn w:val="a0"/>
    <w:rsid w:val="00626A49"/>
  </w:style>
  <w:style w:type="character" w:styleId="a3">
    <w:name w:val="Hyperlink"/>
    <w:basedOn w:val="a0"/>
    <w:uiPriority w:val="99"/>
    <w:semiHidden/>
    <w:unhideWhenUsed/>
    <w:rsid w:val="00626A49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626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26A49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626A4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26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3">
    <w:name w:val="article_title3"/>
    <w:basedOn w:val="a0"/>
    <w:rsid w:val="00626A49"/>
  </w:style>
  <w:style w:type="character" w:styleId="a3">
    <w:name w:val="Hyperlink"/>
    <w:basedOn w:val="a0"/>
    <w:uiPriority w:val="99"/>
    <w:semiHidden/>
    <w:unhideWhenUsed/>
    <w:rsid w:val="00626A49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626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26A49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626A4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26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.upc.edu.cn/_upload/article/files/82/f3/3f33508d4247a448e249dbca3ea8/cf7d9816-a896-43ab-beae-c46431cd280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wc.upc.edu.cn/_upload/article/files/82/f3/3f33508d4247a448e249dbca3ea8/e92850bc-bbbb-468d-a0bc-5216a50f3522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wc.upc.edu.cn/_upload/article/files/82/f3/3f33508d4247a448e249dbca3ea8/b7908e79-7323-4b37-a63d-5fb345fa5c4d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jwc.upc.edu.cn/_upload/article/files/82/f3/3f33508d4247a448e249dbca3ea8/ce347ba6-893a-48d8-8d38-16b872534634.xls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5F9A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2021-09-16T01:15:00Z</dcterms:created>
  <dcterms:modified xsi:type="dcterms:W3CDTF">2021-09-16T01:19:00Z</dcterms:modified>
</cp:coreProperties>
</file>